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81" w:rsidRPr="00BA0196" w:rsidRDefault="00661281" w:rsidP="00E05FBD">
      <w:pPr>
        <w:pStyle w:val="normal"/>
        <w:tabs>
          <w:tab w:val="left" w:pos="6882"/>
        </w:tabs>
        <w:ind w:firstLine="0"/>
        <w:rPr>
          <w:b/>
          <w:sz w:val="24"/>
          <w:szCs w:val="24"/>
        </w:rPr>
      </w:pPr>
    </w:p>
    <w:p w:rsidR="00FE3D92" w:rsidRPr="00E05FBD" w:rsidRDefault="00FE3D92" w:rsidP="00733091">
      <w:pPr>
        <w:pStyle w:val="normal"/>
        <w:ind w:firstLine="0"/>
        <w:jc w:val="right"/>
        <w:rPr>
          <w:rFonts w:asciiTheme="majorHAnsi" w:hAnsiTheme="majorHAnsi"/>
          <w:b/>
          <w:sz w:val="24"/>
          <w:szCs w:val="24"/>
        </w:rPr>
      </w:pPr>
      <w:r w:rsidRPr="00E05FBD">
        <w:rPr>
          <w:rFonts w:asciiTheme="majorHAnsi" w:hAnsiTheme="majorHAnsi"/>
          <w:b/>
          <w:sz w:val="24"/>
          <w:szCs w:val="24"/>
        </w:rPr>
        <w:t>Załącznik nr 2</w:t>
      </w:r>
    </w:p>
    <w:p w:rsidR="002829CE" w:rsidRPr="00E05FBD" w:rsidRDefault="00FE3D92" w:rsidP="00733091">
      <w:pPr>
        <w:pStyle w:val="normal"/>
        <w:ind w:firstLine="0"/>
        <w:jc w:val="right"/>
        <w:rPr>
          <w:rFonts w:asciiTheme="majorHAnsi" w:hAnsiTheme="majorHAnsi"/>
          <w:b/>
          <w:sz w:val="24"/>
          <w:szCs w:val="24"/>
        </w:rPr>
      </w:pPr>
      <w:r w:rsidRPr="00E05FBD">
        <w:rPr>
          <w:rFonts w:asciiTheme="majorHAnsi" w:hAnsiTheme="majorHAnsi"/>
          <w:b/>
          <w:sz w:val="24"/>
          <w:szCs w:val="24"/>
        </w:rPr>
        <w:t xml:space="preserve">Opis przedmiotu zamówienia  </w:t>
      </w:r>
    </w:p>
    <w:p w:rsidR="00661281" w:rsidRPr="00E05FBD" w:rsidRDefault="00661281" w:rsidP="00733091">
      <w:pPr>
        <w:pStyle w:val="normal"/>
        <w:ind w:firstLine="0"/>
        <w:rPr>
          <w:rFonts w:asciiTheme="majorHAnsi" w:hAnsiTheme="majorHAnsi"/>
          <w:b/>
        </w:rPr>
      </w:pPr>
    </w:p>
    <w:p w:rsidR="00E05FBD" w:rsidRPr="00E05FBD" w:rsidRDefault="00E05FBD" w:rsidP="00E05FBD">
      <w:pPr>
        <w:spacing w:after="240"/>
        <w:jc w:val="center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  <w:r w:rsidRPr="00E05FBD">
        <w:rPr>
          <w:rFonts w:asciiTheme="majorHAnsi" w:hAnsiTheme="majorHAnsi" w:cstheme="minorHAnsi"/>
          <w:b/>
          <w:sz w:val="28"/>
          <w:szCs w:val="28"/>
        </w:rPr>
        <w:t>OPIS PRZEDMIOTU ZAMÓWIENIA</w:t>
      </w:r>
    </w:p>
    <w:p w:rsidR="00E05FBD" w:rsidRPr="00E05FBD" w:rsidRDefault="00E05FBD" w:rsidP="00E05FBD">
      <w:pPr>
        <w:pStyle w:val="Akapitzlist"/>
        <w:numPr>
          <w:ilvl w:val="0"/>
          <w:numId w:val="15"/>
        </w:numPr>
        <w:spacing w:after="240" w:line="256" w:lineRule="auto"/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 w:rsidRPr="00E05FBD">
        <w:rPr>
          <w:rFonts w:asciiTheme="majorHAnsi" w:hAnsiTheme="majorHAnsi" w:cstheme="minorHAnsi"/>
          <w:b/>
          <w:sz w:val="24"/>
          <w:szCs w:val="24"/>
        </w:rPr>
        <w:t>Modernizacja Centrali Telefonicznej PX-24X</w:t>
      </w:r>
    </w:p>
    <w:p w:rsidR="00E05FBD" w:rsidRPr="00E05FBD" w:rsidRDefault="00E05FBD" w:rsidP="00E05FBD">
      <w:pPr>
        <w:spacing w:after="240"/>
        <w:rPr>
          <w:rFonts w:asciiTheme="majorHAnsi" w:hAnsiTheme="majorHAnsi" w:cstheme="minorHAnsi"/>
          <w:b/>
          <w:sz w:val="24"/>
          <w:szCs w:val="24"/>
        </w:rPr>
      </w:pPr>
      <w:r w:rsidRPr="00E05FBD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Zamówienie jest finansowane w ramach projektu: „Rozbudowa sieci LAN i infrastruktury informatycznej na potrzeby naukowo-badawcze w budynku Instytutu Badań Edukacyjnych zlokalizowanym przy ul. </w:t>
      </w:r>
      <w:proofErr w:type="spellStart"/>
      <w:r w:rsidRPr="00E05FBD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Górczewskiej</w:t>
      </w:r>
      <w:proofErr w:type="spellEnd"/>
      <w:r w:rsidRPr="00E05FBD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8, 01-180 Warszawa”,  i jest realizowane w ramach otrzymanej dotacji celowej - </w:t>
      </w:r>
      <w:r w:rsidRPr="00E05FBD">
        <w:rPr>
          <w:rFonts w:asciiTheme="majorHAnsi" w:hAnsiTheme="majorHAnsi" w:cs="Tahoma"/>
          <w:color w:val="222222"/>
          <w:sz w:val="24"/>
          <w:szCs w:val="24"/>
          <w:shd w:val="clear" w:color="auto" w:fill="FFFFFF"/>
        </w:rPr>
        <w:t xml:space="preserve">umowa nr 6959/II-LAN/SN/2019 (IBE/5/2019/P). 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Modernizacja systemu telekomunikacyjnego będącego w posiadaniu Zamawiającego (TELESIS PX-24X), zainstalowanego w budynku Instytutu Badań Edukacyjnych w Warszawie, przy ul.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Górczewskiej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 xml:space="preserve"> 8. Migracja systemu z wersji TELESIS r5 do wersji TELESIS rX6.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b/>
          <w:sz w:val="24"/>
          <w:szCs w:val="24"/>
        </w:rPr>
        <w:t>1.1  Zobowiązania Wykonawcy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</w:rPr>
        <w:t>1.1.2 Wykonawca zobowiązuje się wykonać przedmiot zamówienia w całym zakresie zgodnie z opisem zawartym w specyfikacji zamówienia.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1.1.3 Wykonywane prace będą zgodne z obowiązującymi przepisami BHP i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p.poż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>., ochrony środowiska, PN, oraz wytycznymi wykonania i odbioru instalacji elektrycznych i teletechnicznych.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1.1.4 Materiały i urządzenia stanowiące przedmiot dostawy będą nowe, dopuszczone do obrotu oraz powszechnego lub jednostkowego stosowania, zostały wyprodukowane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wg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 xml:space="preserve">. najnowszej technologii  i wiedzy w tej dziedzinie , wraz z wymaganiami, atestami,  certyfikatami lub deklaracjami zgodności. 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</w:p>
    <w:p w:rsidR="00E05FBD" w:rsidRPr="00E05FBD" w:rsidRDefault="00E05FBD" w:rsidP="00E05FBD">
      <w:pPr>
        <w:spacing w:after="240"/>
        <w:rPr>
          <w:rFonts w:asciiTheme="majorHAnsi" w:hAnsiTheme="majorHAnsi" w:cstheme="minorHAnsi"/>
          <w:b/>
          <w:sz w:val="24"/>
          <w:szCs w:val="24"/>
          <w:lang w:val="cs-CZ"/>
        </w:rPr>
      </w:pPr>
      <w:r w:rsidRPr="00E05FBD">
        <w:rPr>
          <w:rFonts w:asciiTheme="majorHAnsi" w:hAnsiTheme="majorHAnsi" w:cstheme="minorHAnsi"/>
          <w:b/>
          <w:sz w:val="24"/>
          <w:szCs w:val="24"/>
          <w:lang w:val="cs-CZ"/>
        </w:rPr>
        <w:t>1.2 Zakres prac w ramach rozbudowy: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</w:rPr>
        <w:t>1.2.1</w:t>
      </w:r>
      <w:r w:rsidRPr="00E05FBD">
        <w:rPr>
          <w:rFonts w:asciiTheme="majorHAnsi" w:hAnsiTheme="majorHAnsi" w:cstheme="minorHAnsi"/>
          <w:sz w:val="24"/>
          <w:szCs w:val="24"/>
        </w:rPr>
        <w:tab/>
        <w:t>Dostarczenie elementów rozbudowy centrali telefonicznej do siedziby Zamawiającego.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1.2.2</w:t>
      </w:r>
      <w:r w:rsidRPr="00E05FBD">
        <w:rPr>
          <w:rFonts w:asciiTheme="majorHAnsi" w:hAnsiTheme="majorHAnsi" w:cstheme="minorHAnsi"/>
          <w:sz w:val="24"/>
          <w:szCs w:val="24"/>
        </w:rPr>
        <w:tab/>
        <w:t xml:space="preserve">Montaż oraz uruchomienie elementów rozbudowy centrali telefonicznej we wskazanym pomieszczeniu. 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</w:rPr>
        <w:t>1.2.3</w:t>
      </w:r>
      <w:r w:rsidRPr="00E05FBD">
        <w:rPr>
          <w:rFonts w:asciiTheme="majorHAnsi" w:hAnsiTheme="majorHAnsi" w:cstheme="minorHAnsi"/>
          <w:sz w:val="24"/>
          <w:szCs w:val="24"/>
        </w:rPr>
        <w:tab/>
        <w:t>Przełączenie i uruchomienia wszystkich urządzeń końcowych pracujących w ramach dotychczasowych rozwiązań.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</w:rPr>
        <w:t>1.2.4</w:t>
      </w:r>
      <w:r w:rsidRPr="00E05FBD">
        <w:rPr>
          <w:rFonts w:asciiTheme="majorHAnsi" w:hAnsiTheme="majorHAnsi" w:cstheme="minorHAnsi"/>
          <w:sz w:val="24"/>
          <w:szCs w:val="24"/>
        </w:rPr>
        <w:tab/>
        <w:t>Konfiguracja elementów centrali telefonicznej zgodnie z wykazem przedstawionym przez Zamawiającego; nadanie numeracji, uprawnień miejskich i wewnętrznych abonentom,  zestawienie układów sekretarsko – dyrektorskich, grup abonenckich, obsługa ruchu miejskiego z zachowaniem poprawności prezentacji numeru.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1.2.5 Sprawdzenie poprawności połączeń w obrębie centrali telefonicznej.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1.2.6 Przeniesienie wszystkich dotychczasowych licencji w ramach systemu.</w:t>
      </w:r>
    </w:p>
    <w:p w:rsidR="00E05FBD" w:rsidRPr="00E05FBD" w:rsidRDefault="00E05FBD" w:rsidP="00E05FBD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1.2.7 Uruchomienie i wgranie najnowszej dostępnej wersji oprogramowania systemu</w:t>
      </w:r>
      <w:r w:rsidRPr="00E05FBD">
        <w:rPr>
          <w:rFonts w:asciiTheme="majorHAnsi" w:hAnsiTheme="majorHAnsi" w:cstheme="minorHAnsi"/>
          <w:b/>
          <w:sz w:val="24"/>
          <w:szCs w:val="24"/>
        </w:rPr>
        <w:tab/>
      </w:r>
      <w:r w:rsidRPr="00E05FBD">
        <w:rPr>
          <w:rFonts w:asciiTheme="majorHAnsi" w:hAnsiTheme="majorHAnsi" w:cstheme="minorHAnsi"/>
          <w:sz w:val="24"/>
          <w:szCs w:val="24"/>
        </w:rPr>
        <w:t>TELESIS</w:t>
      </w:r>
    </w:p>
    <w:p w:rsidR="00E05FBD" w:rsidRPr="00E05FBD" w:rsidRDefault="00E05FBD" w:rsidP="00E05FBD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1.2.8 Dostarczenie, montaż nowych oraz utylizacja starych modułów zasilania bateryjnego centrali (18Ah/48V)</w:t>
      </w:r>
    </w:p>
    <w:p w:rsidR="00E05FBD" w:rsidRPr="00E05FBD" w:rsidRDefault="00E05FBD" w:rsidP="00E05FBD">
      <w:pPr>
        <w:spacing w:after="120"/>
        <w:rPr>
          <w:rFonts w:asciiTheme="majorHAnsi" w:hAnsiTheme="majorHAnsi" w:cstheme="minorHAnsi"/>
          <w:sz w:val="24"/>
          <w:szCs w:val="24"/>
        </w:rPr>
      </w:pPr>
    </w:p>
    <w:p w:rsidR="00E05FBD" w:rsidRPr="00E05FBD" w:rsidRDefault="00E05FBD" w:rsidP="00E05FBD">
      <w:pPr>
        <w:spacing w:after="120"/>
        <w:rPr>
          <w:rFonts w:asciiTheme="majorHAnsi" w:hAnsiTheme="majorHAnsi" w:cstheme="minorHAnsi"/>
          <w:sz w:val="24"/>
          <w:szCs w:val="24"/>
        </w:rPr>
      </w:pP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</w:p>
    <w:p w:rsidR="00E05FBD" w:rsidRPr="00E05FBD" w:rsidRDefault="00E05FBD" w:rsidP="00E05FBD">
      <w:pPr>
        <w:rPr>
          <w:rFonts w:asciiTheme="majorHAnsi" w:hAnsiTheme="majorHAnsi" w:cstheme="minorHAnsi"/>
          <w:b/>
          <w:sz w:val="24"/>
          <w:szCs w:val="24"/>
        </w:rPr>
      </w:pPr>
      <w:r w:rsidRPr="00E05FBD">
        <w:rPr>
          <w:rFonts w:asciiTheme="majorHAnsi" w:hAnsiTheme="majorHAnsi" w:cstheme="minorHAnsi"/>
          <w:b/>
          <w:sz w:val="24"/>
          <w:szCs w:val="24"/>
        </w:rPr>
        <w:t xml:space="preserve">1.3 Specyfikacja prac </w:t>
      </w:r>
    </w:p>
    <w:p w:rsidR="00E05FBD" w:rsidRPr="00E05FBD" w:rsidRDefault="00E05FBD" w:rsidP="00E05FBD">
      <w:pPr>
        <w:widowControl w:val="0"/>
        <w:autoSpaceDE w:val="0"/>
        <w:autoSpaceDN w:val="0"/>
        <w:adjustRightInd w:val="0"/>
        <w:spacing w:after="120"/>
        <w:ind w:left="851" w:hanging="851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1.3.1</w:t>
      </w:r>
      <w:r w:rsidRPr="00E05FBD">
        <w:rPr>
          <w:rFonts w:asciiTheme="majorHAnsi" w:hAnsiTheme="majorHAnsi" w:cstheme="minorHAnsi"/>
          <w:sz w:val="24"/>
          <w:szCs w:val="24"/>
        </w:rPr>
        <w:tab/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Upgrade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 xml:space="preserve"> procesora sterującego (PXDFF) do wersji PX-24XR6:</w:t>
      </w:r>
    </w:p>
    <w:p w:rsidR="00E05FBD" w:rsidRPr="00E05FBD" w:rsidRDefault="00E05FBD" w:rsidP="00E05FBD">
      <w:pPr>
        <w:widowControl w:val="0"/>
        <w:autoSpaceDE w:val="0"/>
        <w:autoSpaceDN w:val="0"/>
        <w:adjustRightInd w:val="0"/>
        <w:spacing w:after="120"/>
        <w:ind w:left="1418" w:hanging="567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1.3.1.1 Obsługa 512 abonentów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VoIP</w:t>
      </w:r>
      <w:proofErr w:type="spellEnd"/>
    </w:p>
    <w:p w:rsidR="00E05FBD" w:rsidRPr="00E05FBD" w:rsidRDefault="00E05FBD" w:rsidP="00E05FBD">
      <w:pPr>
        <w:widowControl w:val="0"/>
        <w:autoSpaceDE w:val="0"/>
        <w:autoSpaceDN w:val="0"/>
        <w:adjustRightInd w:val="0"/>
        <w:spacing w:after="120"/>
        <w:ind w:left="1418" w:hanging="567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1.3.1.2 Obsługa 30 kanałów SIP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Trunk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05FBD" w:rsidRPr="00E05FBD" w:rsidRDefault="00E05FBD" w:rsidP="00E05FBD">
      <w:pPr>
        <w:widowControl w:val="0"/>
        <w:autoSpaceDE w:val="0"/>
        <w:autoSpaceDN w:val="0"/>
        <w:adjustRightInd w:val="0"/>
        <w:spacing w:after="120"/>
        <w:ind w:left="1418" w:hanging="567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1.3.1.3 Nakładka do obsługi łącza ISDN PRA 30B+D (PXE1).</w:t>
      </w:r>
    </w:p>
    <w:p w:rsidR="00E05FBD" w:rsidRPr="00E05FBD" w:rsidRDefault="00E05FBD" w:rsidP="00E05FBD">
      <w:pPr>
        <w:widowControl w:val="0"/>
        <w:autoSpaceDE w:val="0"/>
        <w:autoSpaceDN w:val="0"/>
        <w:adjustRightInd w:val="0"/>
        <w:spacing w:after="120"/>
        <w:ind w:left="1418" w:hanging="567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1.3.1.4 Obudowa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Rack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 xml:space="preserve"> 19”</w:t>
      </w:r>
    </w:p>
    <w:p w:rsidR="00E05FBD" w:rsidRPr="00E05FBD" w:rsidRDefault="00E05FBD" w:rsidP="00E05FBD">
      <w:pPr>
        <w:widowControl w:val="0"/>
        <w:autoSpaceDE w:val="0"/>
        <w:autoSpaceDN w:val="0"/>
        <w:adjustRightInd w:val="0"/>
        <w:spacing w:after="120"/>
        <w:ind w:left="1418" w:hanging="567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1.3.1.5 Zasilacz centralowy</w:t>
      </w:r>
    </w:p>
    <w:p w:rsidR="00E05FBD" w:rsidRPr="00E05FBD" w:rsidRDefault="00E05FBD" w:rsidP="00E05FBD">
      <w:pPr>
        <w:widowControl w:val="0"/>
        <w:tabs>
          <w:tab w:val="left" w:pos="1134"/>
          <w:tab w:val="left" w:pos="8505"/>
        </w:tabs>
        <w:autoSpaceDE w:val="0"/>
        <w:autoSpaceDN w:val="0"/>
        <w:adjustRightInd w:val="0"/>
        <w:spacing w:after="120"/>
        <w:ind w:left="567" w:hanging="567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1.3.2  Oferowane urządzenie musi być fabrycznie nowe</w:t>
      </w:r>
      <w:r w:rsidRPr="00E05FBD">
        <w:rPr>
          <w:rFonts w:asciiTheme="majorHAnsi" w:hAnsiTheme="majorHAnsi" w:cstheme="minorHAnsi"/>
          <w:b/>
          <w:bCs/>
          <w:color w:val="00FF00"/>
          <w:sz w:val="24"/>
          <w:szCs w:val="24"/>
        </w:rPr>
        <w:t xml:space="preserve"> </w:t>
      </w:r>
      <w:r w:rsidRPr="00E05FBD">
        <w:rPr>
          <w:rFonts w:asciiTheme="majorHAnsi" w:hAnsiTheme="majorHAnsi" w:cstheme="minorHAnsi"/>
          <w:sz w:val="24"/>
          <w:szCs w:val="24"/>
        </w:rPr>
        <w:t>(rok produkcji 2019).</w:t>
      </w:r>
    </w:p>
    <w:p w:rsidR="00E05FBD" w:rsidRPr="00E05FBD" w:rsidRDefault="00E05FBD" w:rsidP="00E05FBD">
      <w:pPr>
        <w:widowControl w:val="0"/>
        <w:tabs>
          <w:tab w:val="left" w:pos="1134"/>
          <w:tab w:val="left" w:pos="8505"/>
        </w:tabs>
        <w:autoSpaceDE w:val="0"/>
        <w:autoSpaceDN w:val="0"/>
        <w:adjustRightInd w:val="0"/>
        <w:spacing w:after="120"/>
        <w:ind w:left="567" w:hanging="567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1.3.3  Procesor wyposażony w IVR (wielopoziomowy system zapowiedzi słownych) z zastosowaniem min. 4 kanałowego trybu pracy.</w:t>
      </w:r>
    </w:p>
    <w:p w:rsidR="00E05FBD" w:rsidRPr="00E05FBD" w:rsidRDefault="00E05FBD" w:rsidP="00E05FBD">
      <w:pPr>
        <w:widowControl w:val="0"/>
        <w:tabs>
          <w:tab w:val="left" w:pos="1134"/>
          <w:tab w:val="left" w:pos="8505"/>
        </w:tabs>
        <w:autoSpaceDE w:val="0"/>
        <w:autoSpaceDN w:val="0"/>
        <w:adjustRightInd w:val="0"/>
        <w:spacing w:after="120"/>
        <w:ind w:left="567" w:hanging="567"/>
        <w:rPr>
          <w:rFonts w:asciiTheme="majorHAnsi" w:hAnsiTheme="majorHAnsi" w:cstheme="minorHAnsi"/>
          <w:color w:val="0000FF"/>
          <w:sz w:val="24"/>
          <w:szCs w:val="24"/>
        </w:rPr>
      </w:pPr>
      <w:r w:rsidRPr="00E05FBD">
        <w:rPr>
          <w:rFonts w:asciiTheme="majorHAnsi" w:hAnsiTheme="majorHAnsi" w:cstheme="minorHAnsi"/>
          <w:color w:val="000000"/>
          <w:sz w:val="24"/>
          <w:szCs w:val="24"/>
        </w:rPr>
        <w:t>1.3.4  Zarządzanie procesorem poprzez sieć WAN (TCP/IP) z możliwością zdalnej diagnostyki, zarządzania, konfiguracji i pobierania danych poprzez port Ethernet</w:t>
      </w:r>
    </w:p>
    <w:p w:rsidR="00E05FBD" w:rsidRPr="00E05FBD" w:rsidRDefault="00E05FBD" w:rsidP="00E05FBD">
      <w:pPr>
        <w:widowControl w:val="0"/>
        <w:tabs>
          <w:tab w:val="left" w:pos="1134"/>
          <w:tab w:val="left" w:pos="8505"/>
        </w:tabs>
        <w:autoSpaceDE w:val="0"/>
        <w:autoSpaceDN w:val="0"/>
        <w:adjustRightInd w:val="0"/>
        <w:spacing w:after="120"/>
        <w:ind w:left="567" w:hanging="567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1.3.5  Procesor wyposażony w usługę LCR tj. wybieranie najtańszej drogi połączenia.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1.3.6</w:t>
      </w:r>
      <w:r w:rsidRPr="00E05FBD">
        <w:rPr>
          <w:rFonts w:asciiTheme="majorHAnsi" w:hAnsiTheme="majorHAnsi" w:cstheme="minorHAnsi"/>
          <w:sz w:val="24"/>
          <w:szCs w:val="24"/>
        </w:rPr>
        <w:tab/>
        <w:t xml:space="preserve">  Wewnętrzny zintegrowany system dystrybucji połączeń min. 4 kanałowy umożliwiający nagranie przynajmniej 20 różnych zapowiedzi słownych o łącznym czasie przynajmniej 10 min.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1.3.7</w:t>
      </w:r>
      <w:r w:rsidRPr="00E05FBD">
        <w:rPr>
          <w:rFonts w:asciiTheme="majorHAnsi" w:hAnsiTheme="majorHAnsi" w:cstheme="minorHAnsi"/>
          <w:sz w:val="24"/>
          <w:szCs w:val="24"/>
        </w:rPr>
        <w:tab/>
        <w:t xml:space="preserve">  System wyposażony w CLIP (odbiór i nadawanie informacji o numerze abonenta) działający na połączeniach wewnętrznych i miejskich centrali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1.3.8   System wyposażony w CLIR (możliwość skonfigurowania połączeń miejskich wychodzących z centrali telefonicznej bez prezentacji numeru)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</w:p>
    <w:p w:rsidR="00E05FBD" w:rsidRPr="00E05FBD" w:rsidRDefault="00E05FBD" w:rsidP="00E05FBD">
      <w:pPr>
        <w:pStyle w:val="Akapitzlist"/>
        <w:numPr>
          <w:ilvl w:val="0"/>
          <w:numId w:val="15"/>
        </w:numPr>
        <w:spacing w:after="160" w:line="256" w:lineRule="auto"/>
        <w:contextualSpacing/>
        <w:rPr>
          <w:rFonts w:asciiTheme="majorHAnsi" w:hAnsiTheme="majorHAnsi" w:cstheme="minorHAnsi"/>
          <w:b/>
          <w:sz w:val="24"/>
          <w:szCs w:val="24"/>
        </w:rPr>
      </w:pPr>
      <w:r w:rsidRPr="00E05FBD">
        <w:rPr>
          <w:rFonts w:asciiTheme="majorHAnsi" w:hAnsiTheme="majorHAnsi" w:cstheme="minorHAnsi"/>
          <w:b/>
          <w:sz w:val="24"/>
          <w:szCs w:val="24"/>
        </w:rPr>
        <w:t xml:space="preserve">Dostawa aparatów telefonicznych </w:t>
      </w:r>
      <w:proofErr w:type="spellStart"/>
      <w:r w:rsidRPr="00E05FBD">
        <w:rPr>
          <w:rFonts w:asciiTheme="majorHAnsi" w:hAnsiTheme="majorHAnsi" w:cstheme="minorHAnsi"/>
          <w:b/>
          <w:sz w:val="24"/>
          <w:szCs w:val="24"/>
        </w:rPr>
        <w:t>Wifi</w:t>
      </w:r>
      <w:proofErr w:type="spellEnd"/>
      <w:r w:rsidRPr="00E05FBD">
        <w:rPr>
          <w:rFonts w:asciiTheme="majorHAnsi" w:hAnsiTheme="majorHAnsi" w:cstheme="minorHAnsi"/>
          <w:b/>
          <w:sz w:val="24"/>
          <w:szCs w:val="24"/>
        </w:rPr>
        <w:t xml:space="preserve"> (8szt.)</w:t>
      </w:r>
    </w:p>
    <w:p w:rsidR="00E05FBD" w:rsidRPr="00E05FBD" w:rsidRDefault="00E05FBD" w:rsidP="00E05FBD">
      <w:pPr>
        <w:rPr>
          <w:rFonts w:asciiTheme="majorHAnsi" w:hAnsiTheme="majorHAnsi"/>
          <w:b/>
          <w:sz w:val="24"/>
          <w:szCs w:val="24"/>
        </w:rPr>
      </w:pPr>
      <w:r w:rsidRPr="00E05FBD">
        <w:rPr>
          <w:rFonts w:asciiTheme="majorHAnsi" w:hAnsiTheme="majorHAnsi"/>
          <w:b/>
          <w:sz w:val="24"/>
          <w:szCs w:val="24"/>
        </w:rPr>
        <w:t>2.1 Cechy: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2.1.1 Dwuzakresowe </w:t>
      </w:r>
      <w:proofErr w:type="spellStart"/>
      <w:r w:rsidRPr="00E05FBD">
        <w:rPr>
          <w:rFonts w:asciiTheme="majorHAnsi" w:hAnsiTheme="majorHAnsi"/>
          <w:sz w:val="24"/>
          <w:szCs w:val="24"/>
        </w:rPr>
        <w:t>WiFi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, zaawansowaną obsługa </w:t>
      </w:r>
      <w:proofErr w:type="spellStart"/>
      <w:r w:rsidRPr="00E05FBD">
        <w:rPr>
          <w:rFonts w:asciiTheme="majorHAnsi" w:hAnsiTheme="majorHAnsi"/>
          <w:sz w:val="24"/>
          <w:szCs w:val="24"/>
        </w:rPr>
        <w:t>roamingu</w:t>
      </w:r>
      <w:proofErr w:type="spellEnd"/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2.1.2 </w:t>
      </w:r>
      <w:proofErr w:type="spellStart"/>
      <w:r w:rsidRPr="00E05FBD">
        <w:rPr>
          <w:rFonts w:asciiTheme="majorHAnsi" w:hAnsiTheme="majorHAnsi"/>
          <w:sz w:val="24"/>
          <w:szCs w:val="24"/>
        </w:rPr>
        <w:t>Bluetooth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do synchronizacji zestawów słuchawkowych i urządzeń mobilnych (kontakty i przekazywanie połączeń)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2.1.3 Dźwięk HD, podwójny mikrofon z technologią AEC i </w:t>
      </w:r>
      <w:proofErr w:type="spellStart"/>
      <w:r w:rsidRPr="00E05FBD">
        <w:rPr>
          <w:rFonts w:asciiTheme="majorHAnsi" w:hAnsiTheme="majorHAnsi"/>
          <w:sz w:val="24"/>
          <w:szCs w:val="24"/>
        </w:rPr>
        <w:t>Noise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FBD">
        <w:rPr>
          <w:rFonts w:asciiTheme="majorHAnsi" w:hAnsiTheme="majorHAnsi"/>
          <w:sz w:val="24"/>
          <w:szCs w:val="24"/>
        </w:rPr>
        <w:t>Shield</w:t>
      </w:r>
      <w:proofErr w:type="spellEnd"/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>2.1.4 Akumulator pozwalający na osiągnięcie parametrów: czas rozmowy 7,5 godziny, 150 godzin czuwania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2.1.5 Konfigurowalny przycisk dla funkcji “naciśnij i mów” (PTT),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>2.1.6 Port Micro USB i gniazdo słuchawkowe 3,5 mm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>2.1.7 Obsługa: 2 konta SIP, 2 linie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>2.1.8 Obsługa niestandardowych aplikacji przeznaczonych na platformę Android, pasujące do ekranu/klawiszy telefonu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</w:p>
    <w:p w:rsidR="00E05FBD" w:rsidRPr="00E05FBD" w:rsidRDefault="00E05FBD" w:rsidP="00E05FBD">
      <w:pPr>
        <w:pStyle w:val="Akapitzlist"/>
        <w:numPr>
          <w:ilvl w:val="0"/>
          <w:numId w:val="15"/>
        </w:numPr>
        <w:spacing w:after="160" w:line="256" w:lineRule="auto"/>
        <w:contextualSpacing/>
        <w:rPr>
          <w:rFonts w:asciiTheme="majorHAnsi" w:hAnsiTheme="majorHAnsi"/>
          <w:b/>
          <w:sz w:val="24"/>
          <w:szCs w:val="24"/>
        </w:rPr>
      </w:pPr>
      <w:r w:rsidRPr="00E05FBD">
        <w:rPr>
          <w:rFonts w:asciiTheme="majorHAnsi" w:hAnsiTheme="majorHAnsi"/>
          <w:b/>
          <w:sz w:val="24"/>
          <w:szCs w:val="24"/>
        </w:rPr>
        <w:t>Dostawa aparatów systemowych (2szt.)</w:t>
      </w:r>
    </w:p>
    <w:p w:rsidR="00E05FBD" w:rsidRPr="00E05FBD" w:rsidRDefault="00E05FBD" w:rsidP="00E05FBD">
      <w:pPr>
        <w:rPr>
          <w:rFonts w:asciiTheme="majorHAnsi" w:hAnsiTheme="majorHAnsi"/>
          <w:b/>
          <w:sz w:val="24"/>
          <w:szCs w:val="24"/>
        </w:rPr>
      </w:pPr>
      <w:r w:rsidRPr="00E05FBD">
        <w:rPr>
          <w:rFonts w:asciiTheme="majorHAnsi" w:hAnsiTheme="majorHAnsi"/>
          <w:b/>
          <w:sz w:val="24"/>
          <w:szCs w:val="24"/>
        </w:rPr>
        <w:lastRenderedPageBreak/>
        <w:t>3.1 Cechy: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3.1.1 Dotykowy </w:t>
      </w:r>
      <w:proofErr w:type="spellStart"/>
      <w:r w:rsidRPr="00E05FBD">
        <w:rPr>
          <w:rFonts w:asciiTheme="majorHAnsi" w:hAnsiTheme="majorHAnsi"/>
          <w:sz w:val="24"/>
          <w:szCs w:val="24"/>
        </w:rPr>
        <w:t>wyświetlacz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graficzny TFT LCD 7" o </w:t>
      </w:r>
      <w:proofErr w:type="spellStart"/>
      <w:r w:rsidRPr="00E05FBD">
        <w:rPr>
          <w:rFonts w:asciiTheme="majorHAnsi" w:hAnsiTheme="majorHAnsi"/>
          <w:sz w:val="24"/>
          <w:szCs w:val="24"/>
        </w:rPr>
        <w:t>rozdzielczości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min. 800x480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3.1.2 </w:t>
      </w:r>
      <w:proofErr w:type="spellStart"/>
      <w:r w:rsidRPr="00E05FBD">
        <w:rPr>
          <w:rFonts w:asciiTheme="majorHAnsi" w:hAnsiTheme="majorHAnsi"/>
          <w:sz w:val="24"/>
          <w:szCs w:val="24"/>
        </w:rPr>
        <w:t>Jakość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FBD">
        <w:rPr>
          <w:rFonts w:asciiTheme="majorHAnsi" w:hAnsiTheme="majorHAnsi"/>
          <w:sz w:val="24"/>
          <w:szCs w:val="24"/>
        </w:rPr>
        <w:t>dźwięku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HD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3.1.3 Min. 30 ekranowych programowalnych klawiszy </w:t>
      </w:r>
      <w:proofErr w:type="spellStart"/>
      <w:r w:rsidRPr="00E05FBD">
        <w:rPr>
          <w:rFonts w:asciiTheme="majorHAnsi" w:hAnsiTheme="majorHAnsi"/>
          <w:sz w:val="24"/>
          <w:szCs w:val="24"/>
        </w:rPr>
        <w:t>bezpośredniego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wyboru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3.1.4 Ekranowy panel </w:t>
      </w:r>
      <w:proofErr w:type="spellStart"/>
      <w:r w:rsidRPr="00E05FBD">
        <w:rPr>
          <w:rFonts w:asciiTheme="majorHAnsi" w:hAnsiTheme="majorHAnsi"/>
          <w:sz w:val="24"/>
          <w:szCs w:val="24"/>
        </w:rPr>
        <w:t>zajętości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FBD">
        <w:rPr>
          <w:rFonts w:asciiTheme="majorHAnsi" w:hAnsiTheme="majorHAnsi"/>
          <w:sz w:val="24"/>
          <w:szCs w:val="24"/>
        </w:rPr>
        <w:t>portów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3.1.5 Min. 9 klawiszy nawigacyjnych: [!], ["], [#], [$], [-], [+], [ESC], [DEL] i [OK]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3.1.8 Tryb </w:t>
      </w:r>
      <w:proofErr w:type="spellStart"/>
      <w:r w:rsidRPr="00E05FBD">
        <w:rPr>
          <w:rFonts w:asciiTheme="majorHAnsi" w:hAnsiTheme="majorHAnsi"/>
          <w:sz w:val="24"/>
          <w:szCs w:val="24"/>
        </w:rPr>
        <w:t>głośnomówiący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[SPEAKERPHONE] w wersji </w:t>
      </w:r>
      <w:proofErr w:type="spellStart"/>
      <w:r w:rsidRPr="00E05FBD">
        <w:rPr>
          <w:rFonts w:asciiTheme="majorHAnsi" w:hAnsiTheme="majorHAnsi"/>
          <w:sz w:val="24"/>
          <w:szCs w:val="24"/>
        </w:rPr>
        <w:t>full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duplex oraz opcja wyciszenia mikrofonu [MUTE]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3.1.9 Przekazywanie </w:t>
      </w:r>
      <w:proofErr w:type="spellStart"/>
      <w:r w:rsidRPr="00E05FBD">
        <w:rPr>
          <w:rFonts w:asciiTheme="majorHAnsi" w:hAnsiTheme="majorHAnsi"/>
          <w:sz w:val="24"/>
          <w:szCs w:val="24"/>
        </w:rPr>
        <w:t>połączenia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[TRANSFER]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3.1.10 Zawieszanie </w:t>
      </w:r>
      <w:proofErr w:type="spellStart"/>
      <w:r w:rsidRPr="00E05FBD">
        <w:rPr>
          <w:rFonts w:asciiTheme="majorHAnsi" w:hAnsiTheme="majorHAnsi"/>
          <w:sz w:val="24"/>
          <w:szCs w:val="24"/>
        </w:rPr>
        <w:t>połączenia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[FLASH]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3.1.11 </w:t>
      </w:r>
      <w:proofErr w:type="spellStart"/>
      <w:r w:rsidRPr="00E05FBD">
        <w:rPr>
          <w:rFonts w:asciiTheme="majorHAnsi" w:hAnsiTheme="majorHAnsi"/>
          <w:sz w:val="24"/>
          <w:szCs w:val="24"/>
        </w:rPr>
        <w:t>Połączenie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konferencyjne [CONFERENCE] z </w:t>
      </w:r>
      <w:proofErr w:type="spellStart"/>
      <w:r w:rsidRPr="00E05FBD">
        <w:rPr>
          <w:rFonts w:asciiTheme="majorHAnsi" w:hAnsiTheme="majorHAnsi"/>
          <w:sz w:val="24"/>
          <w:szCs w:val="24"/>
        </w:rPr>
        <w:t>opcją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FBD">
        <w:rPr>
          <w:rFonts w:asciiTheme="majorHAnsi" w:hAnsiTheme="majorHAnsi"/>
          <w:sz w:val="24"/>
          <w:szCs w:val="24"/>
        </w:rPr>
        <w:t>rozłączenia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[DISC]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3.1.12 Nagrywanie </w:t>
      </w:r>
      <w:proofErr w:type="spellStart"/>
      <w:r w:rsidRPr="00E05FBD">
        <w:rPr>
          <w:rFonts w:asciiTheme="majorHAnsi" w:hAnsiTheme="majorHAnsi"/>
          <w:sz w:val="24"/>
          <w:szCs w:val="24"/>
        </w:rPr>
        <w:t>połączenia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[RECORD]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3.1.13 Powtarzanie ostatniego numeru [REDIAL]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3.1.14 4 programowalne klawisze [PARK] </w:t>
      </w:r>
    </w:p>
    <w:p w:rsidR="00E05FBD" w:rsidRPr="00E05FBD" w:rsidRDefault="00E05FBD" w:rsidP="00E05FBD">
      <w:pPr>
        <w:rPr>
          <w:rFonts w:asciiTheme="majorHAnsi" w:hAnsiTheme="majorHAnsi"/>
          <w:sz w:val="24"/>
          <w:szCs w:val="24"/>
        </w:rPr>
      </w:pPr>
      <w:r w:rsidRPr="00E05FBD">
        <w:rPr>
          <w:rFonts w:asciiTheme="majorHAnsi" w:hAnsiTheme="majorHAnsi"/>
          <w:sz w:val="24"/>
          <w:szCs w:val="24"/>
        </w:rPr>
        <w:t xml:space="preserve">3.1.15 Port AUDIO do </w:t>
      </w:r>
      <w:proofErr w:type="spellStart"/>
      <w:r w:rsidRPr="00E05FBD">
        <w:rPr>
          <w:rFonts w:asciiTheme="majorHAnsi" w:hAnsiTheme="majorHAnsi"/>
          <w:sz w:val="24"/>
          <w:szCs w:val="24"/>
        </w:rPr>
        <w:t>podłączenia</w:t>
      </w:r>
      <w:proofErr w:type="spellEnd"/>
      <w:r w:rsidRPr="00E05FBD">
        <w:rPr>
          <w:rFonts w:asciiTheme="majorHAnsi" w:hAnsiTheme="majorHAnsi"/>
          <w:sz w:val="24"/>
          <w:szCs w:val="24"/>
        </w:rPr>
        <w:t xml:space="preserve"> słuchawek nagłownych 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</w:p>
    <w:p w:rsidR="00E05FBD" w:rsidRPr="00E05FBD" w:rsidRDefault="00E05FBD" w:rsidP="00E05FBD">
      <w:pPr>
        <w:pStyle w:val="Akapitzlist"/>
        <w:numPr>
          <w:ilvl w:val="0"/>
          <w:numId w:val="15"/>
        </w:numPr>
        <w:spacing w:after="160" w:line="256" w:lineRule="auto"/>
        <w:contextualSpacing/>
        <w:rPr>
          <w:rFonts w:asciiTheme="majorHAnsi" w:hAnsiTheme="majorHAnsi" w:cstheme="minorHAnsi"/>
          <w:b/>
          <w:sz w:val="24"/>
          <w:szCs w:val="24"/>
        </w:rPr>
      </w:pPr>
      <w:r w:rsidRPr="00E05FBD">
        <w:rPr>
          <w:rFonts w:asciiTheme="majorHAnsi" w:hAnsiTheme="majorHAnsi" w:cstheme="minorHAnsi"/>
          <w:b/>
          <w:sz w:val="24"/>
          <w:szCs w:val="24"/>
        </w:rPr>
        <w:t>Dostawa aparatów telefonicznych, bezprzewodowych IP (115szt.)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b/>
          <w:sz w:val="24"/>
          <w:szCs w:val="24"/>
        </w:rPr>
        <w:t>4.1</w:t>
      </w:r>
      <w:r w:rsidRPr="00E05FBD">
        <w:rPr>
          <w:rFonts w:asciiTheme="majorHAnsi" w:hAnsiTheme="majorHAnsi" w:cstheme="minorHAnsi"/>
          <w:sz w:val="24"/>
          <w:szCs w:val="24"/>
        </w:rPr>
        <w:t xml:space="preserve"> </w:t>
      </w:r>
      <w:r w:rsidRPr="00E05FBD">
        <w:rPr>
          <w:rFonts w:asciiTheme="majorHAnsi" w:hAnsiTheme="majorHAnsi" w:cstheme="minorHAnsi"/>
          <w:b/>
          <w:sz w:val="24"/>
          <w:szCs w:val="24"/>
        </w:rPr>
        <w:t>Cechy:</w:t>
      </w:r>
      <w:r w:rsidRPr="00E05FB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05FBD" w:rsidRPr="00E05FBD" w:rsidRDefault="00E05FBD" w:rsidP="00E05FBD">
      <w:pPr>
        <w:ind w:left="708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4.1.1 Kolorowy wyświetlacz LCD o przekątnej min. 1,8 cala (128 x 160) z min. 2 programowalnymi klawiszami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4.1.2 Min. 20 godzin czasu rozmów i 250 godzin czasu czuwania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4.1.3 Obsługa min. 10 kont SIP i 10 linii na telefon oraz konferencje trójstronne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4.1.4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Push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 xml:space="preserve"> to talk za pomocą konfigurowalnego przycisku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4.1.5 Dźwięk HD w głośniku, słuchawce i zestawie słuchawkowym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4.1.6 Bezprzewodowe aktualizacje oprogramowania przez Internet (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over-the-air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>)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sz w:val="24"/>
          <w:szCs w:val="24"/>
        </w:rPr>
      </w:pP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sz w:val="24"/>
          <w:szCs w:val="24"/>
        </w:rPr>
      </w:pPr>
    </w:p>
    <w:p w:rsidR="00E05FBD" w:rsidRPr="00E05FBD" w:rsidRDefault="00E05FBD" w:rsidP="00E05FBD">
      <w:pPr>
        <w:rPr>
          <w:rFonts w:asciiTheme="majorHAnsi" w:hAnsiTheme="majorHAnsi" w:cstheme="minorHAnsi"/>
          <w:b/>
          <w:sz w:val="24"/>
          <w:szCs w:val="24"/>
        </w:rPr>
      </w:pPr>
      <w:r w:rsidRPr="00E05FBD">
        <w:rPr>
          <w:rFonts w:asciiTheme="majorHAnsi" w:hAnsiTheme="majorHAnsi" w:cstheme="minorHAnsi"/>
          <w:b/>
          <w:sz w:val="24"/>
          <w:szCs w:val="24"/>
        </w:rPr>
        <w:t>2.2 Dostawa stacji bazowych (50szt.)</w:t>
      </w:r>
    </w:p>
    <w:p w:rsidR="00E05FBD" w:rsidRPr="00E05FBD" w:rsidRDefault="00E05FBD" w:rsidP="00E05FBD">
      <w:pPr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b/>
          <w:sz w:val="24"/>
          <w:szCs w:val="24"/>
        </w:rPr>
        <w:t>2.2.1</w:t>
      </w:r>
      <w:r w:rsidRPr="00E05FBD">
        <w:rPr>
          <w:rFonts w:asciiTheme="majorHAnsi" w:hAnsiTheme="majorHAnsi" w:cstheme="minorHAnsi"/>
          <w:sz w:val="24"/>
          <w:szCs w:val="24"/>
        </w:rPr>
        <w:t xml:space="preserve"> </w:t>
      </w:r>
      <w:r w:rsidRPr="00E05FBD">
        <w:rPr>
          <w:rFonts w:asciiTheme="majorHAnsi" w:hAnsiTheme="majorHAnsi" w:cstheme="minorHAnsi"/>
          <w:b/>
          <w:sz w:val="24"/>
          <w:szCs w:val="24"/>
        </w:rPr>
        <w:t>Cechy:</w:t>
      </w:r>
      <w:r w:rsidRPr="00E05FB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05FBD" w:rsidRPr="00E05FBD" w:rsidRDefault="00E05FBD" w:rsidP="00E05FBD">
      <w:pPr>
        <w:ind w:firstLine="708"/>
        <w:rPr>
          <w:rStyle w:val="Pogrubienie"/>
          <w:rFonts w:asciiTheme="majorHAnsi" w:hAnsiTheme="majorHAnsi" w:cstheme="minorHAnsi"/>
          <w:b w:val="0"/>
          <w:bCs w:val="0"/>
          <w:color w:val="1D1D1B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>2.2.1.1 Współpraca z zaoferowanymi słuchawkami 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2.2.1.2 </w:t>
      </w:r>
      <w:r w:rsidRPr="00E05FBD">
        <w:rPr>
          <w:rStyle w:val="Pogrubienie"/>
          <w:rFonts w:asciiTheme="majorHAnsi" w:hAnsiTheme="majorHAnsi" w:cstheme="minorHAnsi"/>
          <w:color w:val="1D1D1B"/>
          <w:sz w:val="24"/>
          <w:szCs w:val="24"/>
        </w:rPr>
        <w:t>Zasięg 300 m na zewnątrz, 50 m w wewnątrz budynku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2.2.1.3 Liczba obsługiwanych kont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VoIP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>: </w:t>
      </w:r>
      <w:r w:rsidRPr="00E05FBD">
        <w:rPr>
          <w:rStyle w:val="Pogrubienie"/>
          <w:rFonts w:asciiTheme="majorHAnsi" w:hAnsiTheme="majorHAnsi" w:cstheme="minorHAnsi"/>
          <w:color w:val="1D1D1B"/>
          <w:sz w:val="24"/>
          <w:szCs w:val="24"/>
        </w:rPr>
        <w:t>10 kont SIP</w:t>
      </w:r>
      <w:r w:rsidRPr="00E05FBD">
        <w:rPr>
          <w:rFonts w:asciiTheme="majorHAnsi" w:hAnsiTheme="majorHAnsi" w:cstheme="minorHAnsi"/>
          <w:sz w:val="24"/>
          <w:szCs w:val="24"/>
        </w:rPr>
        <w:t>,</w:t>
      </w:r>
      <w:r w:rsidRPr="00E05FBD">
        <w:rPr>
          <w:rStyle w:val="Pogrubienie"/>
          <w:rFonts w:asciiTheme="majorHAnsi" w:hAnsiTheme="majorHAnsi" w:cstheme="minorHAnsi"/>
          <w:color w:val="1D1D1B"/>
          <w:sz w:val="24"/>
          <w:szCs w:val="24"/>
        </w:rPr>
        <w:t xml:space="preserve"> 10 linii na słuchawkę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color w:val="1D1D1B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2.2.1.4 </w:t>
      </w:r>
      <w:r w:rsidRPr="00E05FBD">
        <w:rPr>
          <w:rFonts w:asciiTheme="majorHAnsi" w:hAnsiTheme="majorHAnsi" w:cstheme="minorHAnsi"/>
          <w:color w:val="1D1D1B"/>
          <w:sz w:val="24"/>
          <w:szCs w:val="24"/>
        </w:rPr>
        <w:t xml:space="preserve">Rejestracja liczby słuchawek: min. </w:t>
      </w:r>
      <w:r w:rsidRPr="00E05FBD">
        <w:rPr>
          <w:rStyle w:val="Pogrubienie"/>
          <w:rFonts w:asciiTheme="majorHAnsi" w:hAnsiTheme="majorHAnsi" w:cstheme="minorHAnsi"/>
          <w:color w:val="1D1D1B"/>
          <w:sz w:val="24"/>
          <w:szCs w:val="24"/>
        </w:rPr>
        <w:t>5 słuchawek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color w:val="1D1D1B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2.2.1.5 </w:t>
      </w:r>
      <w:r w:rsidRPr="00E05FBD">
        <w:rPr>
          <w:rFonts w:asciiTheme="majorHAnsi" w:hAnsiTheme="majorHAnsi" w:cstheme="minorHAnsi"/>
          <w:color w:val="1D1D1B"/>
          <w:sz w:val="24"/>
          <w:szCs w:val="24"/>
        </w:rPr>
        <w:t>Liczba równoczesnych połączeń:</w:t>
      </w:r>
      <w:r w:rsidRPr="00E05FBD">
        <w:rPr>
          <w:rStyle w:val="apple-converted-space"/>
          <w:rFonts w:asciiTheme="majorHAnsi" w:hAnsiTheme="majorHAnsi" w:cstheme="minorHAnsi"/>
          <w:color w:val="1D1D1B"/>
          <w:sz w:val="24"/>
          <w:szCs w:val="24"/>
        </w:rPr>
        <w:t xml:space="preserve"> min. </w:t>
      </w:r>
      <w:r w:rsidRPr="00E05FBD">
        <w:rPr>
          <w:rStyle w:val="Pogrubienie"/>
          <w:rFonts w:asciiTheme="majorHAnsi" w:hAnsiTheme="majorHAnsi" w:cstheme="minorHAnsi"/>
          <w:color w:val="1D1D1B"/>
          <w:sz w:val="24"/>
          <w:szCs w:val="24"/>
        </w:rPr>
        <w:t>5 połączeń</w:t>
      </w:r>
    </w:p>
    <w:p w:rsidR="00E05FBD" w:rsidRPr="00E05FBD" w:rsidRDefault="00E05FBD" w:rsidP="00E05FBD">
      <w:pPr>
        <w:ind w:firstLine="708"/>
        <w:rPr>
          <w:rFonts w:asciiTheme="majorHAnsi" w:hAnsiTheme="majorHAnsi" w:cstheme="minorHAnsi"/>
          <w:color w:val="1D1D1B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2.2.1.6 </w:t>
      </w:r>
      <w:r w:rsidRPr="00E05FBD">
        <w:rPr>
          <w:rFonts w:asciiTheme="majorHAnsi" w:hAnsiTheme="majorHAnsi" w:cstheme="minorHAnsi"/>
          <w:color w:val="1D1D1B"/>
          <w:sz w:val="24"/>
          <w:szCs w:val="24"/>
        </w:rPr>
        <w:t>Zintegrowane</w:t>
      </w:r>
      <w:r w:rsidRPr="00E05FBD">
        <w:rPr>
          <w:rStyle w:val="apple-converted-space"/>
          <w:rFonts w:asciiTheme="majorHAnsi" w:hAnsiTheme="majorHAnsi" w:cstheme="minorHAnsi"/>
          <w:color w:val="1D1D1B"/>
          <w:sz w:val="24"/>
          <w:szCs w:val="24"/>
        </w:rPr>
        <w:t> </w:t>
      </w:r>
      <w:proofErr w:type="spellStart"/>
      <w:r w:rsidRPr="00E05FBD">
        <w:rPr>
          <w:rStyle w:val="Pogrubienie"/>
          <w:rFonts w:asciiTheme="majorHAnsi" w:hAnsiTheme="majorHAnsi" w:cstheme="minorHAnsi"/>
          <w:color w:val="1D1D1B"/>
          <w:sz w:val="24"/>
          <w:szCs w:val="24"/>
        </w:rPr>
        <w:t>PoE</w:t>
      </w:r>
      <w:proofErr w:type="spellEnd"/>
    </w:p>
    <w:p w:rsidR="00E05FBD" w:rsidRPr="00E05FBD" w:rsidRDefault="00E05FBD" w:rsidP="00E05FBD">
      <w:pPr>
        <w:pStyle w:val="Akapitzlist"/>
        <w:numPr>
          <w:ilvl w:val="3"/>
          <w:numId w:val="16"/>
        </w:numPr>
        <w:spacing w:after="160" w:line="256" w:lineRule="auto"/>
        <w:contextualSpacing/>
        <w:rPr>
          <w:rFonts w:asciiTheme="majorHAnsi" w:hAnsiTheme="majorHAnsi" w:cstheme="minorHAnsi"/>
          <w:color w:val="1D1D1B"/>
          <w:sz w:val="24"/>
          <w:szCs w:val="24"/>
        </w:rPr>
      </w:pPr>
      <w:r w:rsidRPr="00E05FBD">
        <w:rPr>
          <w:rFonts w:asciiTheme="majorHAnsi" w:hAnsiTheme="majorHAnsi" w:cstheme="minorHAnsi"/>
          <w:color w:val="1D1D1B"/>
          <w:sz w:val="24"/>
          <w:szCs w:val="24"/>
        </w:rPr>
        <w:t>Kodeki audio: G.711, G.723.1, G.729A/B, G.726, G.722 (</w:t>
      </w:r>
      <w:r w:rsidRPr="00E05FBD">
        <w:rPr>
          <w:rStyle w:val="Pogrubienie"/>
          <w:rFonts w:asciiTheme="majorHAnsi" w:hAnsiTheme="majorHAnsi" w:cstheme="minorHAnsi"/>
          <w:color w:val="1D1D1B"/>
          <w:sz w:val="24"/>
          <w:szCs w:val="24"/>
        </w:rPr>
        <w:t>dźwięk HD</w:t>
      </w:r>
      <w:r w:rsidRPr="00E05FBD">
        <w:rPr>
          <w:rFonts w:asciiTheme="majorHAnsi" w:hAnsiTheme="majorHAnsi" w:cstheme="minorHAnsi"/>
          <w:color w:val="1D1D1B"/>
          <w:sz w:val="24"/>
          <w:szCs w:val="24"/>
        </w:rPr>
        <w:t>)</w:t>
      </w:r>
    </w:p>
    <w:p w:rsidR="00E05FBD" w:rsidRPr="00E05FBD" w:rsidRDefault="00E05FBD" w:rsidP="00E05FBD">
      <w:pPr>
        <w:ind w:left="708"/>
        <w:rPr>
          <w:rFonts w:asciiTheme="majorHAnsi" w:hAnsiTheme="majorHAnsi" w:cstheme="minorHAnsi"/>
          <w:color w:val="1D1D1B"/>
          <w:sz w:val="24"/>
          <w:szCs w:val="24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2.2.1.8 Możliwość zestawienia </w:t>
      </w:r>
      <w:r w:rsidRPr="00E05FBD">
        <w:rPr>
          <w:rFonts w:asciiTheme="majorHAnsi" w:hAnsiTheme="majorHAnsi" w:cstheme="minorHAnsi"/>
          <w:color w:val="1D1D1B"/>
          <w:sz w:val="24"/>
          <w:szCs w:val="24"/>
        </w:rPr>
        <w:t>3-stronnej konferencji</w:t>
      </w:r>
    </w:p>
    <w:p w:rsidR="00E05FBD" w:rsidRPr="00E05FBD" w:rsidRDefault="00E05FBD" w:rsidP="00E05FBD">
      <w:pPr>
        <w:rPr>
          <w:rFonts w:asciiTheme="majorHAnsi" w:hAnsiTheme="majorHAnsi" w:cstheme="minorHAnsi"/>
          <w:b/>
          <w:color w:val="1D1D1B"/>
          <w:sz w:val="24"/>
          <w:szCs w:val="24"/>
        </w:rPr>
      </w:pPr>
      <w:r w:rsidRPr="00E05FBD">
        <w:rPr>
          <w:rFonts w:asciiTheme="majorHAnsi" w:hAnsiTheme="majorHAnsi" w:cstheme="minorHAnsi"/>
          <w:b/>
          <w:color w:val="1D1D1B"/>
          <w:sz w:val="24"/>
          <w:szCs w:val="24"/>
        </w:rPr>
        <w:t xml:space="preserve">2.3  </w:t>
      </w:r>
      <w:r w:rsidRPr="00E05FBD">
        <w:rPr>
          <w:rFonts w:asciiTheme="majorHAnsi" w:hAnsiTheme="majorHAnsi" w:cstheme="minorHAnsi"/>
          <w:b/>
          <w:sz w:val="24"/>
          <w:szCs w:val="24"/>
        </w:rPr>
        <w:t>Zobowiązania Wykonawcy, gwarancja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</w:rPr>
        <w:t>2.3.1</w:t>
      </w:r>
      <w:r w:rsidRPr="00E05FBD">
        <w:rPr>
          <w:rFonts w:asciiTheme="majorHAnsi" w:hAnsiTheme="majorHAnsi" w:cstheme="minorHAnsi"/>
          <w:sz w:val="24"/>
          <w:szCs w:val="24"/>
        </w:rPr>
        <w:tab/>
        <w:t>Wykonawca zobowiązuje się wykonać przedmiot zamówienia w całym zakresie zgodnie z opisem zawartym w specyfikacji technicznej.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</w:rPr>
        <w:t>2.3.2</w:t>
      </w:r>
      <w:r w:rsidRPr="00E05FBD">
        <w:rPr>
          <w:rFonts w:asciiTheme="majorHAnsi" w:hAnsiTheme="majorHAnsi" w:cstheme="minorHAnsi"/>
          <w:sz w:val="24"/>
          <w:szCs w:val="24"/>
        </w:rPr>
        <w:tab/>
        <w:t xml:space="preserve">Wykonywane prace będą zgodne z obowiązującymi przepisami BHP i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p.poż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>., ochrony środowiska, PN, oraz wytycznymi wykonania i odbioru instalacji elektrycznych i teletechnicznych.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  <w:lang w:val="cs-CZ"/>
        </w:rPr>
        <w:lastRenderedPageBreak/>
        <w:t>2.3.4</w:t>
      </w:r>
      <w:r w:rsidRPr="00E05FBD">
        <w:rPr>
          <w:rFonts w:asciiTheme="majorHAnsi" w:hAnsiTheme="majorHAnsi" w:cstheme="minorHAnsi"/>
          <w:sz w:val="24"/>
          <w:szCs w:val="24"/>
        </w:rPr>
        <w:t xml:space="preserve"> </w:t>
      </w:r>
      <w:r w:rsidRPr="00E05FBD">
        <w:rPr>
          <w:rFonts w:asciiTheme="majorHAnsi" w:hAnsiTheme="majorHAnsi" w:cstheme="minorHAnsi"/>
          <w:sz w:val="24"/>
          <w:szCs w:val="24"/>
        </w:rPr>
        <w:tab/>
        <w:t xml:space="preserve">Materiały i urządzenia stanowiące przedmiot dostawy będą nowe, dopuszczone do obrotu oraz powszechnego lub jednostkowego stosowania, zostały wyprodukowane </w:t>
      </w:r>
      <w:proofErr w:type="spellStart"/>
      <w:r w:rsidRPr="00E05FBD">
        <w:rPr>
          <w:rFonts w:asciiTheme="majorHAnsi" w:hAnsiTheme="majorHAnsi" w:cstheme="minorHAnsi"/>
          <w:sz w:val="24"/>
          <w:szCs w:val="24"/>
        </w:rPr>
        <w:t>wg</w:t>
      </w:r>
      <w:proofErr w:type="spellEnd"/>
      <w:r w:rsidRPr="00E05FBD">
        <w:rPr>
          <w:rFonts w:asciiTheme="majorHAnsi" w:hAnsiTheme="majorHAnsi" w:cstheme="minorHAnsi"/>
          <w:sz w:val="24"/>
          <w:szCs w:val="24"/>
        </w:rPr>
        <w:t xml:space="preserve">. najnowszej technologii  i wiedzy w tej dziedzinie , wraz z wymaganiami, atestami,  certyfikatami lub deklaracjami zgodności. </w:t>
      </w:r>
    </w:p>
    <w:p w:rsidR="00E05FBD" w:rsidRPr="00E05FBD" w:rsidRDefault="00E05FBD" w:rsidP="00E05FBD">
      <w:pPr>
        <w:rPr>
          <w:rFonts w:asciiTheme="majorHAnsi" w:eastAsia="Cambria" w:hAnsiTheme="majorHAnsi" w:cstheme="minorHAnsi"/>
          <w:sz w:val="24"/>
          <w:szCs w:val="24"/>
          <w:lang w:val="cs-CZ" w:eastAsia="en-US"/>
        </w:rPr>
      </w:pPr>
      <w:r w:rsidRPr="00E05FBD">
        <w:rPr>
          <w:rFonts w:asciiTheme="majorHAnsi" w:hAnsiTheme="majorHAnsi" w:cstheme="minorHAnsi"/>
          <w:sz w:val="24"/>
          <w:szCs w:val="24"/>
        </w:rPr>
        <w:t xml:space="preserve">2.3.5 </w:t>
      </w:r>
      <w:r w:rsidRPr="00E05FBD">
        <w:rPr>
          <w:rFonts w:asciiTheme="majorHAnsi" w:hAnsiTheme="majorHAnsi" w:cstheme="minorHAnsi"/>
          <w:sz w:val="24"/>
          <w:szCs w:val="24"/>
        </w:rPr>
        <w:tab/>
        <w:t>Wykonawca na wykonane zadanie udzieli min. 24 miesięcy gwarancji.</w:t>
      </w:r>
    </w:p>
    <w:p w:rsidR="00E05FBD" w:rsidRPr="00E05FBD" w:rsidRDefault="00E05FBD" w:rsidP="00E05FBD">
      <w:pPr>
        <w:rPr>
          <w:rFonts w:asciiTheme="majorHAnsi" w:hAnsiTheme="majorHAnsi" w:cstheme="minorHAnsi"/>
          <w:color w:val="1D1D1B"/>
          <w:sz w:val="24"/>
          <w:szCs w:val="24"/>
          <w:lang w:val="cs-CZ"/>
        </w:rPr>
      </w:pPr>
    </w:p>
    <w:p w:rsidR="00E05FBD" w:rsidRPr="00E05FBD" w:rsidRDefault="00E05FBD" w:rsidP="00E05FBD">
      <w:pPr>
        <w:rPr>
          <w:rFonts w:asciiTheme="majorHAnsi" w:eastAsia="Arial Unicode MS" w:hAnsiTheme="majorHAnsi" w:cstheme="minorHAnsi"/>
          <w:b/>
          <w:sz w:val="24"/>
          <w:szCs w:val="24"/>
        </w:rPr>
      </w:pPr>
      <w:r w:rsidRPr="00E05FBD">
        <w:rPr>
          <w:rFonts w:asciiTheme="majorHAnsi" w:eastAsia="Arial Unicode MS" w:hAnsiTheme="majorHAnsi" w:cstheme="minorHAnsi"/>
          <w:b/>
          <w:sz w:val="24"/>
          <w:szCs w:val="24"/>
        </w:rPr>
        <w:t>Dodatkowe wymogi – dot. wszystkich części zamówienia</w:t>
      </w:r>
    </w:p>
    <w:p w:rsidR="00E05FBD" w:rsidRPr="00E05FBD" w:rsidRDefault="00E05FBD" w:rsidP="00E05FBD">
      <w:pPr>
        <w:rPr>
          <w:rFonts w:asciiTheme="majorHAnsi" w:eastAsia="Arial Unicode MS" w:hAnsiTheme="majorHAnsi" w:cstheme="minorHAnsi"/>
          <w:color w:val="FF0000"/>
          <w:sz w:val="24"/>
          <w:szCs w:val="24"/>
        </w:rPr>
      </w:pPr>
    </w:p>
    <w:p w:rsidR="00E05FBD" w:rsidRPr="00E05FBD" w:rsidRDefault="00E05FBD" w:rsidP="00E05FBD">
      <w:pPr>
        <w:numPr>
          <w:ilvl w:val="0"/>
          <w:numId w:val="17"/>
        </w:numPr>
        <w:spacing w:after="160"/>
        <w:contextualSpacing/>
        <w:rPr>
          <w:rFonts w:asciiTheme="majorHAnsi" w:eastAsia="Arial Unicode MS" w:hAnsiTheme="majorHAnsi" w:cstheme="minorHAnsi"/>
          <w:color w:val="000000"/>
          <w:sz w:val="24"/>
          <w:szCs w:val="24"/>
        </w:rPr>
      </w:pPr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>Wykonawca gwarantuje najwyższą jakość przedmiotu zamówienia.</w:t>
      </w:r>
    </w:p>
    <w:p w:rsidR="00E05FBD" w:rsidRPr="00E05FBD" w:rsidRDefault="00E05FBD" w:rsidP="00E05FBD">
      <w:pPr>
        <w:numPr>
          <w:ilvl w:val="0"/>
          <w:numId w:val="17"/>
        </w:numPr>
        <w:contextualSpacing/>
        <w:rPr>
          <w:rFonts w:asciiTheme="majorHAnsi" w:eastAsia="Arial Unicode MS" w:hAnsiTheme="majorHAnsi" w:cstheme="minorHAnsi"/>
          <w:color w:val="000000"/>
          <w:sz w:val="24"/>
          <w:szCs w:val="24"/>
        </w:rPr>
      </w:pPr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>Wykonawca udzieli gwarancji na sprzęt na okres 36 miesięcy, chyb</w:t>
      </w:r>
      <w:r w:rsidRPr="00E05FBD">
        <w:rPr>
          <w:rFonts w:asciiTheme="majorHAnsi" w:eastAsia="Arial Unicode MS" w:hAnsiTheme="majorHAnsi" w:cstheme="minorHAnsi"/>
          <w:sz w:val="24"/>
          <w:szCs w:val="24"/>
        </w:rPr>
        <w:t>a że OPZ stanowi inaczej</w:t>
      </w:r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 xml:space="preserve"> (typ gwarancji </w:t>
      </w:r>
      <w:proofErr w:type="spellStart"/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>door</w:t>
      </w:r>
      <w:proofErr w:type="spellEnd"/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 xml:space="preserve"> to </w:t>
      </w:r>
      <w:proofErr w:type="spellStart"/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>door</w:t>
      </w:r>
      <w:proofErr w:type="spellEnd"/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 xml:space="preserve">), liczony od dnia podpisania protokołu odbioru przedmiotu zamówienia z nieodpłatnym (wliczonym w cenę oferty) serwisem wynikającym z warunków gwarancji i naprawą w okresie gwarancyjnym. Szczegółowe warunki gwarancji </w:t>
      </w:r>
      <w:r w:rsidRPr="00E05FBD">
        <w:rPr>
          <w:rFonts w:asciiTheme="majorHAnsi" w:eastAsia="Arial Unicode MS" w:hAnsiTheme="majorHAnsi" w:cstheme="minorHAnsi"/>
          <w:sz w:val="24"/>
          <w:szCs w:val="24"/>
        </w:rPr>
        <w:t>określa</w:t>
      </w:r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 xml:space="preserve"> umowa.</w:t>
      </w:r>
    </w:p>
    <w:p w:rsidR="00E05FBD" w:rsidRPr="00E05FBD" w:rsidRDefault="00E05FBD" w:rsidP="00E05FBD">
      <w:pPr>
        <w:numPr>
          <w:ilvl w:val="0"/>
          <w:numId w:val="17"/>
        </w:numPr>
        <w:contextualSpacing/>
        <w:rPr>
          <w:rFonts w:asciiTheme="majorHAnsi" w:eastAsia="Arial Unicode MS" w:hAnsiTheme="majorHAnsi" w:cstheme="minorHAnsi"/>
          <w:color w:val="000000"/>
          <w:sz w:val="24"/>
          <w:szCs w:val="24"/>
        </w:rPr>
      </w:pPr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 xml:space="preserve"> Wykonawca gwarantuje dostarczenie sprzętu w terminie do 2</w:t>
      </w:r>
      <w:r w:rsidRPr="00E05FBD">
        <w:rPr>
          <w:rFonts w:asciiTheme="majorHAnsi" w:eastAsia="Arial Unicode MS" w:hAnsiTheme="majorHAnsi" w:cstheme="minorHAnsi"/>
          <w:sz w:val="24"/>
          <w:szCs w:val="24"/>
        </w:rPr>
        <w:t>1 dni</w:t>
      </w:r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 xml:space="preserve"> liczonym od dnia podpisania umowy (wraz z dokumentacją i oprogramowaniem jakie dostarcza produ</w:t>
      </w:r>
      <w:r w:rsidRPr="00E05FBD">
        <w:rPr>
          <w:rFonts w:asciiTheme="majorHAnsi" w:eastAsia="Arial Unicode MS" w:hAnsiTheme="majorHAnsi" w:cstheme="minorHAnsi"/>
          <w:sz w:val="24"/>
          <w:szCs w:val="24"/>
        </w:rPr>
        <w:t>cent</w:t>
      </w:r>
      <w:r w:rsidRPr="00E05FBD">
        <w:rPr>
          <w:rFonts w:asciiTheme="majorHAnsi" w:eastAsia="Arial Unicode MS" w:hAnsiTheme="majorHAnsi" w:cstheme="minorHAnsi"/>
          <w:color w:val="000000"/>
          <w:sz w:val="24"/>
          <w:szCs w:val="24"/>
        </w:rPr>
        <w:t>).</w:t>
      </w:r>
    </w:p>
    <w:p w:rsidR="00E05FBD" w:rsidRPr="00E05FBD" w:rsidRDefault="00E05FBD" w:rsidP="00E05FBD">
      <w:pPr>
        <w:pStyle w:val="Akapitzlist1"/>
        <w:numPr>
          <w:ilvl w:val="0"/>
          <w:numId w:val="17"/>
        </w:numPr>
        <w:jc w:val="both"/>
        <w:rPr>
          <w:rFonts w:asciiTheme="majorHAnsi" w:eastAsia="Arial Unicode MS" w:hAnsiTheme="majorHAnsi" w:cstheme="minorHAnsi"/>
          <w:sz w:val="24"/>
          <w:szCs w:val="24"/>
          <w:lang w:val="pl-PL"/>
        </w:rPr>
      </w:pPr>
      <w:r w:rsidRPr="00E05FBD">
        <w:rPr>
          <w:rFonts w:asciiTheme="majorHAnsi" w:eastAsia="Arial Unicode MS" w:hAnsiTheme="majorHAnsi" w:cstheme="minorHAnsi"/>
          <w:sz w:val="24"/>
          <w:szCs w:val="24"/>
          <w:lang w:val="pl-PL"/>
        </w:rPr>
        <w:t>Wykonawca do dostarczanego asortymentu załączy dokumentację: karty katalogowe oraz</w:t>
      </w:r>
      <w:r w:rsidRPr="00E05FBD">
        <w:rPr>
          <w:rFonts w:asciiTheme="majorHAnsi" w:hAnsiTheme="majorHAnsi" w:cstheme="minorHAnsi"/>
          <w:sz w:val="24"/>
          <w:szCs w:val="24"/>
          <w:lang w:val="pl-PL"/>
        </w:rPr>
        <w:t xml:space="preserve"> </w:t>
      </w:r>
      <w:r w:rsidRPr="00E05FBD">
        <w:rPr>
          <w:rFonts w:asciiTheme="majorHAnsi" w:eastAsia="Arial Unicode MS" w:hAnsiTheme="majorHAnsi" w:cstheme="minorHAnsi"/>
          <w:sz w:val="24"/>
          <w:szCs w:val="24"/>
          <w:lang w:val="pl-PL"/>
        </w:rPr>
        <w:t>certyfikaty CE, certyfikaty jakości ISO 9001 i 14001 dla oferowanego sprzętu. Jeśli w karcie katalogowej nie ma podanych parametrów wymaganych w OPZ, należy dołączyć specyfikacje z tymi parametrami.</w:t>
      </w:r>
    </w:p>
    <w:p w:rsidR="00661281" w:rsidRPr="00E05FBD" w:rsidRDefault="00661281" w:rsidP="00733091">
      <w:pPr>
        <w:pStyle w:val="normal"/>
        <w:ind w:firstLine="0"/>
        <w:rPr>
          <w:rFonts w:asciiTheme="majorHAnsi" w:hAnsiTheme="majorHAnsi"/>
          <w:b/>
          <w:sz w:val="24"/>
          <w:szCs w:val="24"/>
        </w:rPr>
      </w:pPr>
    </w:p>
    <w:sectPr w:rsidR="00661281" w:rsidRPr="00E05FBD" w:rsidSect="0066128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D0" w:rsidRDefault="007E3BD0" w:rsidP="00FE3D92">
      <w:r>
        <w:separator/>
      </w:r>
    </w:p>
  </w:endnote>
  <w:endnote w:type="continuationSeparator" w:id="0">
    <w:p w:rsidR="007E3BD0" w:rsidRDefault="007E3BD0" w:rsidP="00FE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D0" w:rsidRDefault="007E3BD0" w:rsidP="00FE3D92">
      <w:r>
        <w:separator/>
      </w:r>
    </w:p>
  </w:footnote>
  <w:footnote w:type="continuationSeparator" w:id="0">
    <w:p w:rsidR="007E3BD0" w:rsidRDefault="007E3BD0" w:rsidP="00FE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92" w:rsidRDefault="00E05FBD">
    <w:pPr>
      <w:pStyle w:val="Nagwek"/>
    </w:pPr>
    <w:r w:rsidRPr="00E05FBD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-576580</wp:posOffset>
          </wp:positionV>
          <wp:extent cx="6657975" cy="1233170"/>
          <wp:effectExtent l="19050" t="0" r="9525" b="0"/>
          <wp:wrapSquare wrapText="bothSides" distT="0" distB="0" distL="0" distR="0"/>
          <wp:docPr id="17" name="image9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7975" cy="1233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C4B"/>
    <w:multiLevelType w:val="hybridMultilevel"/>
    <w:tmpl w:val="092A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41E"/>
    <w:multiLevelType w:val="hybridMultilevel"/>
    <w:tmpl w:val="EA520D06"/>
    <w:lvl w:ilvl="0" w:tplc="4972013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E0723"/>
    <w:multiLevelType w:val="hybridMultilevel"/>
    <w:tmpl w:val="4B2897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D3C68"/>
    <w:multiLevelType w:val="hybridMultilevel"/>
    <w:tmpl w:val="4774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2531"/>
    <w:multiLevelType w:val="hybridMultilevel"/>
    <w:tmpl w:val="A34E84CC"/>
    <w:lvl w:ilvl="0" w:tplc="1B5036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CD7817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50A81"/>
    <w:multiLevelType w:val="hybridMultilevel"/>
    <w:tmpl w:val="E5CEAF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C4075"/>
    <w:multiLevelType w:val="multilevel"/>
    <w:tmpl w:val="2B9C4075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  <w:color w:val="auto"/>
      </w:rPr>
    </w:lvl>
    <w:lvl w:ilvl="3">
      <w:start w:val="7"/>
      <w:numFmt w:val="decimal"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color w:val="auto"/>
      </w:rPr>
    </w:lvl>
  </w:abstractNum>
  <w:abstractNum w:abstractNumId="7">
    <w:nsid w:val="2BDF5661"/>
    <w:multiLevelType w:val="multilevel"/>
    <w:tmpl w:val="BF546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FF2"/>
    <w:multiLevelType w:val="hybridMultilevel"/>
    <w:tmpl w:val="F276375C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2F8D03D8"/>
    <w:multiLevelType w:val="hybridMultilevel"/>
    <w:tmpl w:val="554CA07A"/>
    <w:lvl w:ilvl="0" w:tplc="C98A39A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72971"/>
    <w:multiLevelType w:val="hybridMultilevel"/>
    <w:tmpl w:val="F9E8C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E46865"/>
    <w:multiLevelType w:val="hybridMultilevel"/>
    <w:tmpl w:val="7304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75CCE3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C2FFE"/>
    <w:multiLevelType w:val="hybridMultilevel"/>
    <w:tmpl w:val="D4682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D733D"/>
    <w:multiLevelType w:val="multilevel"/>
    <w:tmpl w:val="5B6D733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C93526"/>
    <w:multiLevelType w:val="hybridMultilevel"/>
    <w:tmpl w:val="7E4E0F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7C1BCA"/>
    <w:multiLevelType w:val="multilevel"/>
    <w:tmpl w:val="657C1BC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46BAB"/>
    <w:multiLevelType w:val="hybridMultilevel"/>
    <w:tmpl w:val="17603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661281"/>
    <w:rsid w:val="00036F5C"/>
    <w:rsid w:val="000A5735"/>
    <w:rsid w:val="000C7A02"/>
    <w:rsid w:val="001700B5"/>
    <w:rsid w:val="00192A2C"/>
    <w:rsid w:val="001F446E"/>
    <w:rsid w:val="00252EE5"/>
    <w:rsid w:val="002829CE"/>
    <w:rsid w:val="002C202F"/>
    <w:rsid w:val="002C3B5B"/>
    <w:rsid w:val="002C4CB7"/>
    <w:rsid w:val="003A17FA"/>
    <w:rsid w:val="003F3518"/>
    <w:rsid w:val="004D7A60"/>
    <w:rsid w:val="004F6918"/>
    <w:rsid w:val="00511477"/>
    <w:rsid w:val="00562C4C"/>
    <w:rsid w:val="005E2DEE"/>
    <w:rsid w:val="006221C7"/>
    <w:rsid w:val="00631767"/>
    <w:rsid w:val="00661281"/>
    <w:rsid w:val="00665E2D"/>
    <w:rsid w:val="006663B1"/>
    <w:rsid w:val="006A6AAC"/>
    <w:rsid w:val="00731F95"/>
    <w:rsid w:val="00733091"/>
    <w:rsid w:val="007B3F1F"/>
    <w:rsid w:val="007E3BD0"/>
    <w:rsid w:val="008409C4"/>
    <w:rsid w:val="00883672"/>
    <w:rsid w:val="008C7414"/>
    <w:rsid w:val="008C7AEB"/>
    <w:rsid w:val="00943ABD"/>
    <w:rsid w:val="00A37696"/>
    <w:rsid w:val="00A71157"/>
    <w:rsid w:val="00B842CC"/>
    <w:rsid w:val="00B96BB2"/>
    <w:rsid w:val="00BA0196"/>
    <w:rsid w:val="00BA3B8A"/>
    <w:rsid w:val="00BE15F9"/>
    <w:rsid w:val="00C7125B"/>
    <w:rsid w:val="00C84CA0"/>
    <w:rsid w:val="00CB1467"/>
    <w:rsid w:val="00CC6545"/>
    <w:rsid w:val="00D36E05"/>
    <w:rsid w:val="00D45937"/>
    <w:rsid w:val="00DC246B"/>
    <w:rsid w:val="00E05FBD"/>
    <w:rsid w:val="00E20707"/>
    <w:rsid w:val="00FE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C"/>
  </w:style>
  <w:style w:type="paragraph" w:styleId="Nagwek1">
    <w:name w:val="heading 1"/>
    <w:basedOn w:val="normal"/>
    <w:next w:val="normal"/>
    <w:rsid w:val="006612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612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612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612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6128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612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61281"/>
  </w:style>
  <w:style w:type="table" w:customStyle="1" w:styleId="TableNormal">
    <w:name w:val="Table Normal"/>
    <w:rsid w:val="006612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6128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612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28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2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3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D92"/>
  </w:style>
  <w:style w:type="paragraph" w:styleId="Stopka">
    <w:name w:val="footer"/>
    <w:basedOn w:val="Normalny"/>
    <w:link w:val="StopkaZnak"/>
    <w:uiPriority w:val="99"/>
    <w:semiHidden/>
    <w:unhideWhenUsed/>
    <w:rsid w:val="00FE3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D92"/>
  </w:style>
  <w:style w:type="paragraph" w:styleId="Akapitzlist">
    <w:name w:val="List Paragraph"/>
    <w:basedOn w:val="Normalny"/>
    <w:uiPriority w:val="34"/>
    <w:qFormat/>
    <w:rsid w:val="00D36E05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D36E05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1C7"/>
    <w:rPr>
      <w:b/>
      <w:bCs/>
    </w:rPr>
  </w:style>
  <w:style w:type="character" w:styleId="Pogrubienie">
    <w:name w:val="Strong"/>
    <w:basedOn w:val="Domylnaczcionkaakapitu"/>
    <w:uiPriority w:val="22"/>
    <w:qFormat/>
    <w:rsid w:val="00E05FBD"/>
    <w:rPr>
      <w:b/>
      <w:bCs/>
    </w:rPr>
  </w:style>
  <w:style w:type="character" w:customStyle="1" w:styleId="apple-converted-space">
    <w:name w:val="apple-converted-space"/>
    <w:qFormat/>
    <w:rsid w:val="00E05FBD"/>
  </w:style>
  <w:style w:type="paragraph" w:customStyle="1" w:styleId="Akapitzlist1">
    <w:name w:val="Akapit z listą1"/>
    <w:basedOn w:val="Normalny"/>
    <w:uiPriority w:val="99"/>
    <w:qFormat/>
    <w:rsid w:val="00E05FBD"/>
    <w:pPr>
      <w:spacing w:after="160" w:line="259" w:lineRule="auto"/>
      <w:ind w:left="720" w:firstLine="0"/>
      <w:contextualSpacing/>
      <w:jc w:val="left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IBE_KK</cp:lastModifiedBy>
  <cp:revision>4</cp:revision>
  <cp:lastPrinted>2019-03-07T10:40:00Z</cp:lastPrinted>
  <dcterms:created xsi:type="dcterms:W3CDTF">2019-12-03T08:32:00Z</dcterms:created>
  <dcterms:modified xsi:type="dcterms:W3CDTF">2019-12-04T11:39:00Z</dcterms:modified>
</cp:coreProperties>
</file>